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158" w:type="dxa"/>
        <w:tblInd w:w="-885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3"/>
        <w:gridCol w:w="225"/>
      </w:tblGrid>
      <w:tr>
        <w:trPr>
          <w:cantSplit/>
          <w:trHeight w:val="4677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933" w:type="dxa"/>
            <w:vAlign w:val="top"/>
            <w:textDirection w:val="lrTb"/>
            <w:noWrap w:val="false"/>
          </w:tcPr>
          <w:tbl>
            <w:tblPr>
              <w:tblW w:w="0" w:type="auto"/>
              <w:tblInd w:w="3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6140"/>
              <w:gridCol w:w="4252"/>
            </w:tblGrid>
            <w:tr>
              <w:trPr>
                <w:cantSplit/>
                <w:trHeight w:val="3242"/>
              </w:trPr>
              <w:tc>
                <w:tcPr>
                  <w:tcBorders>
                    <w:left w:val="none" w:color="000000" w:sz="0" w:space="0"/>
                    <w:top w:val="none" w:color="000000" w:sz="0" w:space="0"/>
                    <w:right w:val="none" w:color="000000" w:sz="0" w:space="0"/>
                    <w:bottom w:val="none" w:color="000000" w:sz="0" w:space="0"/>
                  </w:tcBorders>
                  <w:tcW w:w="6140" w:type="dxa"/>
                  <w:vAlign w:val="top"/>
                  <w:textDirection w:val="lrTb"/>
                  <w:noWrap w:val="false"/>
                </w:tcPr>
                <w:p>
                  <w:pPr>
                    <w:pStyle w:val="564"/>
                    <w:ind w:left="754"/>
                    <w:jc w:val="center"/>
                    <w:rPr>
                      <w:rFonts w:ascii="Times New Roman CYR" w:hAnsi="Times New Roman CYR"/>
                      <w:color w:val="000000"/>
                    </w:rPr>
                  </w:pPr>
                  <w: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510153" cy="564662"/>
                            <wp:effectExtent l="0" t="0" r="0" b="0"/>
                            <wp:docPr id="1" name="" hidden="fal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" hidden="0"/>
                                    <pic:cNvPicPr/>
                                  </pic:nvPicPr>
                                  <pic:blipFill>
                                    <a:blip r:embed="rId7"/>
                                    <a:srcRect l="0" t="40366" r="0" b="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10152" cy="5646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rou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mso-wrap-distance-left:0.0pt;mso-wrap-distance-top:0.0pt;mso-wrap-distance-right:0.0pt;mso-wrap-distance-bottom:0.0pt;width:40.2pt;height:44.5pt;">
                            <v:path textboxrect="0,0,0,0"/>
                            <v:imagedata r:id="rId7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 CYR" w:hAnsi="Times New Roman CYR"/>
                      <w:b/>
                      <w:bCs/>
                      <w:color w:val="000000"/>
                    </w:rPr>
                  </w:r>
                  <w:r/>
                </w:p>
                <w:p>
                  <w:pPr>
                    <w:pStyle w:val="564"/>
                    <w:ind w:left="754"/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/>
                </w:p>
                <w:p>
                  <w:pPr>
                    <w:pStyle w:val="565"/>
                    <w:ind w:left="754"/>
                    <w:jc w:val="center"/>
                  </w:pPr>
                  <w:r>
                    <w:rPr>
                      <w:b/>
                      <w:bCs/>
                      <w:sz w:val="24"/>
                    </w:rPr>
                    <w:t xml:space="preserve">ДЕПАРТАМЕНТ </w:t>
                  </w:r>
                  <w:r>
                    <w:rPr>
                      <w:b/>
                      <w:bCs/>
                      <w:sz w:val="24"/>
                    </w:rPr>
                  </w:r>
                  <w:r/>
                </w:p>
                <w:p>
                  <w:pPr>
                    <w:pStyle w:val="565"/>
                    <w:ind w:left="754"/>
                    <w:jc w:val="center"/>
                  </w:pPr>
                  <w:r>
                    <w:rPr>
                      <w:b/>
                      <w:bCs/>
                      <w:sz w:val="24"/>
                    </w:rPr>
                    <w:t xml:space="preserve">СТРОИТЕЛЬСТВА, ЖКХ и ТЭК</w:t>
                  </w:r>
                  <w:r>
                    <w:rPr>
                      <w:b/>
                      <w:bCs/>
                      <w:sz w:val="24"/>
                    </w:rPr>
                  </w:r>
                  <w:r/>
                </w:p>
                <w:p>
                  <w:pPr>
                    <w:pStyle w:val="564"/>
                    <w:ind w:left="754"/>
                    <w:jc w:val="center"/>
                  </w:pPr>
                  <w:r>
                    <w:rPr>
                      <w:b/>
                      <w:sz w:val="24"/>
                      <w:szCs w:val="24"/>
                    </w:rPr>
                    <w:t xml:space="preserve">КОСТРОМСКОЙ ОБЛАСТИ</w:t>
                  </w:r>
                  <w:r>
                    <w:rPr>
                      <w:b/>
                      <w:sz w:val="24"/>
                      <w:szCs w:val="24"/>
                    </w:rPr>
                  </w:r>
                  <w:r/>
                </w:p>
                <w:p>
                  <w:pPr>
                    <w:pStyle w:val="564"/>
                    <w:ind w:left="754"/>
                    <w:jc w:val="center"/>
                  </w:pPr>
                  <w:r/>
                  <w:r/>
                  <w:r/>
                </w:p>
                <w:p>
                  <w:pPr>
                    <w:pStyle w:val="564"/>
                    <w:ind w:left="754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Сенная ул., 17, г. Кострома, 156013</w:t>
                  </w:r>
                  <w:r/>
                  <w:r/>
                </w:p>
                <w:p>
                  <w:pPr>
                    <w:pStyle w:val="564"/>
                    <w:ind w:left="754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тел./факс (4942) </w:t>
                  </w:r>
                  <w:r>
                    <w:rPr>
                      <w:sz w:val="22"/>
                      <w:szCs w:val="22"/>
                    </w:rPr>
                    <w:t xml:space="preserve">31-28-12,</w:t>
                  </w:r>
                  <w:r>
                    <w:rPr>
                      <w:sz w:val="22"/>
                      <w:szCs w:val="22"/>
                    </w:rPr>
                    <w:t xml:space="preserve"> 47-10-94</w:t>
                  </w:r>
                  <w:r/>
                  <w:r/>
                </w:p>
                <w:p>
                  <w:pPr>
                    <w:pStyle w:val="564"/>
                    <w:ind w:left="754"/>
                    <w:jc w:val="center"/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 xml:space="preserve">E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-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mail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: </w:t>
                  </w:r>
                  <w:r>
                    <w:fldChar w:fldCharType="begin"/>
                  </w:r>
                  <w:r>
                    <w:rPr>
                      <w:lang w:val="en-US"/>
                    </w:rPr>
                    <w:instrText xml:space="preserve">HYPERLINK "mailto:stroy@adm44.ru"</w:instrText>
                  </w:r>
                  <w:r>
                    <w:fldChar w:fldCharType="separate"/>
                  </w:r>
                  <w:r>
                    <w:rPr>
                      <w:rStyle w:val="570"/>
                      <w:sz w:val="22"/>
                      <w:szCs w:val="22"/>
                      <w:lang w:val="en-US"/>
                    </w:rPr>
                    <w:t xml:space="preserve">stroy@adm44.ru</w:t>
                  </w:r>
                  <w:r>
                    <w:fldChar w:fldCharType="end"/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>
                    <w:rPr>
                      <w:lang w:val="en-US"/>
                    </w:rPr>
                    <w:instrText xml:space="preserve">HYPERLINK "mailto:tek-gkh@adm44.ru"</w:instrText>
                  </w:r>
                  <w:r>
                    <w:fldChar w:fldCharType="separate"/>
                    <w:fldChar w:fldCharType="end"/>
                  </w:r>
                  <w:r>
                    <w:rPr>
                      <w:lang w:val="en-US"/>
                    </w:rPr>
                  </w:r>
                  <w:r/>
                </w:p>
                <w:p>
                  <w:pPr>
                    <w:pStyle w:val="564"/>
                    <w:ind w:left="754"/>
                    <w:jc w:val="center"/>
                    <w:rPr>
                      <w:highlight w:val="yellow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 xml:space="preserve">ОКПО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 33798929, </w:t>
                  </w:r>
                  <w:r>
                    <w:rPr>
                      <w:sz w:val="22"/>
                      <w:szCs w:val="22"/>
                    </w:rPr>
                    <w:t xml:space="preserve">ОГРН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 1184401005172</w:t>
                  </w:r>
                  <w:r>
                    <w:rPr>
                      <w:highlight w:val="yellow"/>
                      <w:lang w:val="en-US"/>
                    </w:rPr>
                  </w:r>
                  <w:r/>
                </w:p>
                <w:p>
                  <w:pPr>
                    <w:pStyle w:val="564"/>
                    <w:ind w:left="754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ИНН/КПП 4401188854/440101001</w:t>
                  </w:r>
                  <w:r/>
                  <w:r/>
                </w:p>
                <w:tbl>
                  <w:tblPr>
                    <w:tblW w:w="0" w:type="auto"/>
                    <w:tblInd w:w="607" w:type="dxa"/>
                    <w:tblLayout w:type="autofit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9"/>
                    <w:gridCol w:w="1701"/>
                    <w:gridCol w:w="425"/>
                    <w:gridCol w:w="1843"/>
                  </w:tblGrid>
                  <w:tr>
                    <w:trPr>
                      <w:cantSplit/>
                      <w:trHeight w:val="417"/>
                    </w:trPr>
                    <w:tc>
                      <w:tcPr>
                        <w:tcW w:w="709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left"/>
                          <w:tabs>
                            <w:tab w:val="left" w:pos="3433" w:leader="none"/>
                          </w:tabs>
                          <w:rPr>
                            <w:rFonts w:eastAsia="PMingLiU"/>
                          </w:rPr>
                        </w:pPr>
                        <w:r>
                          <w:rPr>
                            <w:rFonts w:eastAsia="PMingLiU"/>
                          </w:rPr>
                          <w:t xml:space="preserve"> от</w:t>
                        </w:r>
                        <w:r>
                          <w:rPr>
                            <w:rFonts w:eastAsia="PMingLiU"/>
                          </w:rPr>
                        </w:r>
                        <w:r/>
                      </w:p>
                    </w:tc>
                    <w:tc>
                      <w:tcPr>
                        <w:tcBorders>
                          <w:bottom w:val="single" w:color="000000" w:sz="4" w:space="0"/>
                        </w:tcBorders>
                        <w:tcW w:w="1701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  <w:rPr>
                            <w:rFonts w:eastAsia="PMingLiU"/>
                          </w:rPr>
                        </w:pPr>
                        <w:r>
                          <w:rPr>
                            <w:rFonts w:eastAsia="PMingLiU"/>
                          </w:rPr>
                        </w:r>
                        <w:r>
                          <w:rPr>
                            <w:rFonts w:eastAsia="PMingLiU"/>
                          </w:rPr>
                        </w:r>
                        <w:r/>
                      </w:p>
                    </w:tc>
                    <w:tc>
                      <w:tcPr>
                        <w:tcW w:w="425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</w:pPr>
                        <w:r>
                          <w:t xml:space="preserve">№</w:t>
                        </w:r>
                        <w:r/>
                        <w:r/>
                      </w:p>
                    </w:tc>
                    <w:tc>
                      <w:tcPr>
                        <w:tcBorders>
                          <w:bottom w:val="single" w:color="000000" w:sz="4" w:space="0"/>
                        </w:tcBorders>
                        <w:tcW w:w="1843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  <w:rPr>
                            <w:rFonts w:eastAsia="PMingLiU"/>
                          </w:rPr>
                        </w:pPr>
                        <w:r>
                          <w:rPr>
                            <w:rFonts w:eastAsia="PMingLiU"/>
                          </w:rPr>
                        </w:r>
                        <w:r>
                          <w:rPr>
                            <w:rFonts w:eastAsia="PMingLiU"/>
                          </w:rPr>
                        </w:r>
                        <w:r/>
                      </w:p>
                    </w:tc>
                  </w:tr>
                  <w:tr>
                    <w:trPr>
                      <w:trHeight w:val="413"/>
                    </w:trPr>
                    <w:tc>
                      <w:tcPr>
                        <w:tcW w:w="709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</w:pPr>
                        <w:r>
                          <w:t xml:space="preserve">н</w:t>
                        </w:r>
                        <w:r>
                          <w:t xml:space="preserve">а №</w:t>
                        </w:r>
                        <w:r/>
                        <w:r/>
                      </w:p>
                    </w:tc>
                    <w:tc>
                      <w:tcPr>
                        <w:tcBorders>
                          <w:top w:val="single" w:color="000000" w:sz="4" w:space="0"/>
                          <w:bottom w:val="single" w:color="000000" w:sz="4" w:space="0"/>
                        </w:tcBorders>
                        <w:tcW w:w="1701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  <w:rPr>
                            <w:rFonts w:eastAsia="PMingLiU"/>
                          </w:rPr>
                        </w:pPr>
                        <w:r>
                          <w:rPr>
                            <w:rFonts w:eastAsia="PMingLiU"/>
                          </w:rPr>
                        </w:r>
                        <w:r>
                          <w:rPr>
                            <w:rFonts w:eastAsia="PMingLiU"/>
                          </w:rPr>
                        </w:r>
                        <w:r/>
                      </w:p>
                    </w:tc>
                    <w:tc>
                      <w:tcPr>
                        <w:tcW w:w="425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</w:pPr>
                        <w:r>
                          <w:t xml:space="preserve">от</w:t>
                        </w:r>
                        <w:r/>
                        <w:r/>
                      </w:p>
                    </w:tc>
                    <w:tc>
                      <w:tcPr>
                        <w:tcBorders>
                          <w:top w:val="single" w:color="000000" w:sz="4" w:space="0"/>
                          <w:bottom w:val="single" w:color="000000" w:sz="4" w:space="0"/>
                        </w:tcBorders>
                        <w:tcW w:w="1843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pStyle w:val="564"/>
                          <w:jc w:val="center"/>
                          <w:tabs>
                            <w:tab w:val="left" w:pos="3433" w:leader="none"/>
                          </w:tabs>
                          <w:rPr>
                            <w:rFonts w:eastAsia="PMingLiU"/>
                          </w:rPr>
                        </w:pPr>
                        <w:r>
                          <w:rPr>
                            <w:rFonts w:eastAsia="PMingLiU"/>
                          </w:rPr>
                        </w:r>
                        <w:r>
                          <w:rPr>
                            <w:rFonts w:eastAsia="PMingLiU"/>
                          </w:rPr>
                        </w:r>
                        <w:r/>
                      </w:p>
                    </w:tc>
                  </w:tr>
                </w:tbl>
                <w:p>
                  <w:pPr>
                    <w:pStyle w:val="564"/>
                    <w:jc w:val="center"/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/>
                </w:p>
              </w:tc>
              <w:tc>
                <w:tcPr>
                  <w:tcBorders>
                    <w:left w:val="none" w:color="000000" w:sz="0" w:space="0"/>
                    <w:top w:val="none" w:color="000000" w:sz="0" w:space="0"/>
                    <w:right w:val="none" w:color="000000" w:sz="0" w:space="0"/>
                    <w:bottom w:val="none" w:color="000000" w:sz="0" w:space="0"/>
                  </w:tcBorders>
                  <w:tcW w:w="4252" w:type="dxa"/>
                  <w:vAlign w:val="top"/>
                  <w:vMerge w:val="restart"/>
                  <w:textDirection w:val="lrTb"/>
                  <w:noWrap w:val="false"/>
                </w:tcPr>
                <w:p>
                  <w:pPr>
                    <w:pStyle w:val="564"/>
                    <w:ind w:right="-322"/>
                  </w:pPr>
                  <w:r>
                    <w:rPr>
                      <w:bCs/>
                      <w:sz w:val="28"/>
                      <w:szCs w:val="28"/>
                    </w:rPr>
                  </w:r>
                  <w:r>
                    <w:rPr>
                      <w:bCs/>
                      <w:sz w:val="28"/>
                      <w:szCs w:val="28"/>
                    </w:rPr>
                  </w:r>
                  <w:r/>
                </w:p>
                <w:p>
                  <w:pPr>
                    <w:pStyle w:val="564"/>
                    <w:ind w:right="-322"/>
                  </w:pPr>
                  <w:r>
                    <w:rPr>
                      <w:bCs/>
                      <w:sz w:val="28"/>
                      <w:szCs w:val="28"/>
                    </w:rPr>
                  </w:r>
                  <w:r>
                    <w:rPr>
                      <w:bCs/>
                      <w:sz w:val="28"/>
                      <w:szCs w:val="28"/>
                    </w:rPr>
                  </w:r>
                  <w:r/>
                </w:p>
                <w:p>
                  <w:pPr>
                    <w:pStyle w:val="564"/>
                    <w:ind w:right="-322"/>
                    <w:rPr>
                      <w:color w:val="000000"/>
                    </w:rPr>
                  </w:pPr>
                  <w:r>
                    <w:rPr>
                      <w:color w:val="000000"/>
                      <w:sz w:val="40"/>
                      <w:szCs w:val="40"/>
                    </w:rPr>
                  </w:r>
                  <w:r>
                    <w:rPr>
                      <w:color w:val="000000"/>
                      <w:sz w:val="40"/>
                      <w:szCs w:val="40"/>
                    </w:rPr>
                  </w:r>
                  <w:r/>
                </w:p>
                <w:p>
                  <w:pPr>
                    <w:pStyle w:val="564"/>
                    <w:ind w:right="-108"/>
                    <w:rPr>
                      <w:color w:val="000000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Директору </w:t>
                  </w:r>
                  <w:r>
                    <w:rPr>
                      <w:color w:val="000000"/>
                      <w:sz w:val="28"/>
                      <w:szCs w:val="28"/>
                    </w:rPr>
                  </w:r>
                  <w:r/>
                  <w:r>
                    <w:rPr>
                      <w:color w:val="000000"/>
                      <w:sz w:val="28"/>
                      <w:szCs w:val="28"/>
                    </w:rPr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филиала «Волго-Вятский» АО «Оборонэнерго» </w:t>
                  </w:r>
                  <w:r/>
                  <w:r/>
                </w:p>
                <w:p>
                  <w:pPr>
                    <w:pStyle w:val="564"/>
                    <w:ind w:right="-108"/>
                    <w:rPr>
                      <w:color w:val="000000"/>
                      <w:sz w:val="28"/>
                      <w:szCs w:val="28"/>
                    </w:rPr>
                  </w:pPr>
                  <w:r/>
                  <w:r>
                    <w:rPr>
                      <w:bCs/>
                      <w:sz w:val="28"/>
                      <w:szCs w:val="28"/>
                    </w:rPr>
                    <w:t xml:space="preserve">Варгузину Ю.П.</w:t>
                  </w:r>
                  <w:r>
                    <w:rPr>
                      <w:color w:val="000000"/>
                      <w:sz w:val="28"/>
                      <w:szCs w:val="28"/>
                    </w:rPr>
                  </w:r>
                  <w:r/>
                </w:p>
                <w:p>
                  <w:pPr>
                    <w:pStyle w:val="564"/>
                    <w:ind w:right="-322"/>
                  </w:pPr>
                  <w:r>
                    <w:rPr>
                      <w:bCs/>
                      <w:sz w:val="28"/>
                      <w:szCs w:val="28"/>
                    </w:rPr>
                  </w:r>
                  <w:r>
                    <w:rPr>
                      <w:bCs/>
                      <w:sz w:val="28"/>
                      <w:szCs w:val="28"/>
                    </w:rPr>
                  </w:r>
                  <w:r/>
                </w:p>
                <w:p>
                  <w:pPr>
                    <w:pStyle w:val="564"/>
                    <w:ind w:left="408" w:right="-108"/>
                  </w:pPr>
                  <w:r>
                    <w:rPr>
                      <w:bCs/>
                      <w:sz w:val="28"/>
                      <w:szCs w:val="28"/>
                    </w:rPr>
                  </w:r>
                  <w:r>
                    <w:rPr>
                      <w:bCs/>
                      <w:sz w:val="28"/>
                      <w:szCs w:val="28"/>
                    </w:rPr>
                  </w:r>
                  <w:r/>
                </w:p>
                <w:p>
                  <w:pPr>
                    <w:pStyle w:val="564"/>
                    <w:ind w:left="408" w:right="-108"/>
                  </w:pPr>
                  <w:r>
                    <w:rPr>
                      <w:bCs/>
                      <w:sz w:val="28"/>
                      <w:szCs w:val="28"/>
                    </w:rPr>
                  </w:r>
                  <w:r>
                    <w:rPr>
                      <w:bCs/>
                      <w:sz w:val="28"/>
                      <w:szCs w:val="28"/>
                    </w:rPr>
                  </w:r>
                  <w:r/>
                </w:p>
              </w:tc>
            </w:tr>
            <w:tr>
              <w:trPr>
                <w:cantSplit/>
                <w:trHeight w:val="101"/>
              </w:trPr>
              <w:tc>
                <w:tcPr>
                  <w:tcBorders>
                    <w:left w:val="none" w:color="000000" w:sz="0" w:space="0"/>
                    <w:top w:val="none" w:color="000000" w:sz="0" w:space="0"/>
                    <w:right w:val="none" w:color="000000" w:sz="0" w:space="0"/>
                    <w:bottom w:val="none" w:color="000000" w:sz="0" w:space="0"/>
                  </w:tcBorders>
                  <w:tcW w:w="6140" w:type="dxa"/>
                  <w:vAlign w:val="top"/>
                  <w:textDirection w:val="lrTb"/>
                  <w:noWrap w:val="false"/>
                </w:tcPr>
                <w:p>
                  <w:pPr>
                    <w:pStyle w:val="564"/>
                    <w:jc w:val="center"/>
                    <w:tabs>
                      <w:tab w:val="left" w:pos="3433" w:leader="none"/>
                    </w:tabs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/>
                </w:p>
              </w:tc>
              <w:tc>
                <w:tcPr>
                  <w:tcBorders>
                    <w:left w:val="none" w:color="000000" w:sz="0" w:space="0"/>
                    <w:top w:val="none" w:color="000000" w:sz="0" w:space="0"/>
                    <w:right w:val="none" w:color="000000" w:sz="0" w:space="0"/>
                    <w:bottom w:val="none" w:color="000000" w:sz="0" w:space="0"/>
                  </w:tcBorders>
                  <w:tcW w:w="4252" w:type="dxa"/>
                  <w:vAlign w:val="top"/>
                  <w:vMerge w:val="continue"/>
                  <w:textDirection w:val="lrTb"/>
                  <w:noWrap w:val="false"/>
                </w:tcPr>
                <w:p>
                  <w:pPr>
                    <w:pStyle w:val="564"/>
                  </w:pPr>
                  <w:r/>
                  <w:r/>
                  <w:r/>
                </w:p>
              </w:tc>
            </w:tr>
          </w:tbl>
          <w:p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25" w:type="dxa"/>
            <w:vAlign w:val="top"/>
            <w:textDirection w:val="lrTb"/>
            <w:noWrap w:val="false"/>
          </w:tcPr>
          <w:p>
            <w:pPr>
              <w:pStyle w:val="564"/>
              <w:ind w:left="72"/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/>
          </w:p>
        </w:tc>
      </w:tr>
    </w:tbl>
    <w:p>
      <w:pPr>
        <w:pStyle w:val="564"/>
        <w:jc w:val="center"/>
        <w:rPr>
          <w:sz w:val="28"/>
        </w:rPr>
      </w:pPr>
      <w:r>
        <w:rPr>
          <w:sz w:val="28"/>
        </w:rPr>
        <w:t xml:space="preserve">Уведомление о принятии к рассмотрению</w:t>
      </w:r>
      <w:r/>
    </w:p>
    <w:p>
      <w:pPr>
        <w:pStyle w:val="5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проекта корректировки инвестиционной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филиала «Волго-Вятский» 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АО «Оборонэнерго» в границах Костромской области на 2021-2024 годы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564"/>
        <w:jc w:val="both"/>
        <w:rPr>
          <w:sz w:val="28"/>
        </w:rPr>
      </w:pPr>
      <w:r>
        <w:rPr>
          <w:sz w:val="28"/>
        </w:rPr>
      </w:r>
      <w:r/>
    </w:p>
    <w:p>
      <w:pPr>
        <w:pStyle w:val="575"/>
        <w:spacing w:lineRule="auto" w:line="240" w:before="72"/>
        <w:widowControl/>
        <w:rPr>
          <w:rStyle w:val="576"/>
          <w:sz w:val="28"/>
          <w:szCs w:val="28"/>
        </w:rPr>
      </w:pPr>
      <w:r>
        <w:rPr>
          <w:rStyle w:val="576"/>
          <w:sz w:val="28"/>
          <w:szCs w:val="28"/>
        </w:rPr>
        <w:t xml:space="preserve">На Ваше </w:t>
      </w:r>
      <w:r>
        <w:rPr>
          <w:rStyle w:val="576"/>
          <w:sz w:val="28"/>
          <w:szCs w:val="28"/>
        </w:rPr>
        <w:t xml:space="preserve">заявление </w:t>
      </w:r>
      <w:r>
        <w:rPr>
          <w:color w:val="000000"/>
          <w:sz w:val="28"/>
          <w:szCs w:val="28"/>
        </w:rPr>
        <w:t xml:space="preserve">от 04.04.2022 № ВЛГ/100/</w:t>
      </w:r>
      <w:r>
        <w:rPr>
          <w:sz w:val="28"/>
          <w:szCs w:val="28"/>
        </w:rPr>
        <w:t xml:space="preserve">1136 о предоставлении государственной услуги по утверждению изменений, которые вносятся в </w:t>
      </w:r>
      <w:r>
        <w:rPr>
          <w:sz w:val="28"/>
          <w:szCs w:val="28"/>
        </w:rPr>
        <w:t xml:space="preserve">инвестиционную программу </w:t>
      </w:r>
      <w:r>
        <w:rPr>
          <w:color w:val="000000"/>
          <w:sz w:val="28"/>
          <w:szCs w:val="28"/>
        </w:rPr>
        <w:t xml:space="preserve">филиала «Волго-Вятский» АО «Оборонэнерго» в границах Костромской области на 2021-2024 годы (далее - проект инвестиционной программы)</w:t>
      </w:r>
      <w:r>
        <w:rPr>
          <w:color w:val="000000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Департамент</w:t>
      </w:r>
      <w:r>
        <w:rPr>
          <w:rStyle w:val="576"/>
          <w:sz w:val="28"/>
          <w:szCs w:val="28"/>
        </w:rPr>
        <w:t xml:space="preserve"> строительства, ЖКХ и ТЭК Костромской области</w:t>
      </w:r>
      <w:r>
        <w:rPr>
          <w:rStyle w:val="576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сообщает следующее.</w:t>
      </w:r>
      <w:r/>
    </w:p>
    <w:p>
      <w:pPr>
        <w:pStyle w:val="575"/>
        <w:ind w:firstLine="710"/>
        <w:spacing w:lineRule="auto" w:line="240"/>
        <w:widowControl/>
        <w:rPr>
          <w:rStyle w:val="576"/>
          <w:sz w:val="28"/>
          <w:szCs w:val="28"/>
        </w:rPr>
      </w:pPr>
      <w:r>
        <w:rPr>
          <w:rStyle w:val="576"/>
          <w:sz w:val="28"/>
          <w:szCs w:val="28"/>
        </w:rPr>
        <w:t xml:space="preserve">В соответствии с пунктом 9 </w:t>
      </w:r>
      <w:r>
        <w:rPr>
          <w:rStyle w:val="576"/>
          <w:sz w:val="28"/>
          <w:szCs w:val="28"/>
        </w:rPr>
        <w:t xml:space="preserve">Правил</w:t>
      </w:r>
      <w:r>
        <w:rPr>
          <w:rStyle w:val="576"/>
          <w:sz w:val="28"/>
          <w:szCs w:val="28"/>
        </w:rPr>
        <w:t xml:space="preserve"> утверждения инвестиционных программ субъектов электроэнергетики, утвержденн</w:t>
      </w:r>
      <w:r>
        <w:rPr>
          <w:rStyle w:val="576"/>
          <w:sz w:val="28"/>
          <w:szCs w:val="28"/>
        </w:rPr>
        <w:t xml:space="preserve">ых</w:t>
      </w:r>
      <w:r>
        <w:rPr>
          <w:rStyle w:val="576"/>
          <w:sz w:val="28"/>
          <w:szCs w:val="28"/>
        </w:rPr>
        <w:t xml:space="preserve"> постановлением Правительства Российской Федерации от 01.12.2009 № 977 (далее </w:t>
      </w:r>
      <w:r>
        <w:rPr>
          <w:rStyle w:val="576"/>
          <w:sz w:val="28"/>
          <w:szCs w:val="28"/>
        </w:rPr>
        <w:t xml:space="preserve">–</w:t>
      </w:r>
      <w:r>
        <w:rPr>
          <w:rStyle w:val="576"/>
          <w:sz w:val="28"/>
          <w:szCs w:val="28"/>
        </w:rPr>
        <w:t xml:space="preserve"> Правила)</w:t>
      </w:r>
      <w:r>
        <w:rPr>
          <w:rStyle w:val="576"/>
          <w:sz w:val="28"/>
          <w:szCs w:val="28"/>
        </w:rPr>
        <w:t xml:space="preserve">, </w:t>
      </w:r>
      <w:r>
        <w:rPr>
          <w:rStyle w:val="576"/>
          <w:sz w:val="28"/>
          <w:szCs w:val="28"/>
        </w:rPr>
        <w:t xml:space="preserve">проект инвестиционной программы </w:t>
      </w:r>
      <w:r>
        <w:rPr>
          <w:color w:val="000000"/>
          <w:sz w:val="28"/>
          <w:szCs w:val="28"/>
        </w:rPr>
        <w:t xml:space="preserve">филиала «Волго-Вятский»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АО «Оборонэнерго»</w:t>
      </w:r>
      <w:r>
        <w:rPr>
          <w:color w:val="000000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в составе материалов, предусмотренных </w:t>
      </w:r>
      <w:r>
        <w:rPr>
          <w:sz w:val="28"/>
        </w:rPr>
        <w:t xml:space="preserve">стандарт</w:t>
      </w:r>
      <w:r>
        <w:rPr>
          <w:sz w:val="28"/>
        </w:rPr>
        <w:t xml:space="preserve">ами</w:t>
      </w:r>
      <w:r>
        <w:rPr>
          <w:sz w:val="28"/>
        </w:rPr>
        <w:t xml:space="preserve"> раскрытия информации субъектами оптового и розничных рынков электрической энергии, утвержденны</w:t>
      </w:r>
      <w:r>
        <w:rPr>
          <w:sz w:val="28"/>
        </w:rPr>
        <w:t xml:space="preserve">ми</w:t>
      </w:r>
      <w:r>
        <w:rPr>
          <w:sz w:val="28"/>
        </w:rPr>
        <w:t xml:space="preserve">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</w:t>
      </w:r>
      <w:r>
        <w:rPr>
          <w:sz w:val="28"/>
        </w:rPr>
        <w:t xml:space="preserve">, </w:t>
      </w:r>
      <w:r>
        <w:rPr>
          <w:rStyle w:val="576"/>
          <w:sz w:val="28"/>
          <w:szCs w:val="28"/>
        </w:rPr>
        <w:t xml:space="preserve">размещен на официальном сайте Департамента строительства, ЖКХ и ТЭК Костромской области по ссылке: </w:t>
      </w:r>
      <w:r>
        <w:rPr>
          <w:rStyle w:val="576"/>
          <w:sz w:val="28"/>
          <w:szCs w:val="28"/>
        </w:rPr>
        <w:t xml:space="preserve">http://gkh.adm44.ru/investprog11/energet1/</w:t>
      </w:r>
      <w:r>
        <w:rPr>
          <w:rStyle w:val="576"/>
          <w:sz w:val="28"/>
          <w:szCs w:val="28"/>
        </w:rPr>
        <w:t xml:space="preserve">.</w:t>
      </w:r>
      <w:r/>
    </w:p>
    <w:p>
      <w:pPr>
        <w:pStyle w:val="573"/>
        <w:ind w:firstLine="709"/>
        <w:jc w:val="both"/>
        <w:rPr>
          <w:rStyle w:val="576"/>
          <w:sz w:val="28"/>
          <w:szCs w:val="28"/>
        </w:rPr>
      </w:pPr>
      <w:r>
        <w:rPr>
          <w:rStyle w:val="576"/>
          <w:sz w:val="28"/>
          <w:szCs w:val="28"/>
        </w:rPr>
        <w:t xml:space="preserve">Во исполнение</w:t>
      </w:r>
      <w:r>
        <w:rPr>
          <w:rStyle w:val="576"/>
          <w:sz w:val="28"/>
          <w:szCs w:val="28"/>
        </w:rPr>
        <w:t xml:space="preserve"> пункт</w:t>
      </w:r>
      <w:r>
        <w:rPr>
          <w:rStyle w:val="576"/>
          <w:sz w:val="28"/>
          <w:szCs w:val="28"/>
        </w:rPr>
        <w:t xml:space="preserve">а</w:t>
      </w:r>
      <w:r>
        <w:rPr>
          <w:rStyle w:val="576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17</w:t>
      </w:r>
      <w:r>
        <w:rPr>
          <w:rStyle w:val="576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Правил </w:t>
      </w:r>
      <w:r>
        <w:rPr>
          <w:rStyle w:val="576"/>
          <w:sz w:val="28"/>
          <w:szCs w:val="28"/>
        </w:rPr>
        <w:t xml:space="preserve">Департамент строительства, ЖКХ и ТЭК Костромской области уведомляет, что </w:t>
      </w:r>
      <w:r>
        <w:rPr>
          <w:rStyle w:val="576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инвестиционной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филиала «Волго-Вятский» АО «Оборонэнерго» в границах Костромской области на 2021-2024 годы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576"/>
          <w:sz w:val="28"/>
          <w:szCs w:val="28"/>
        </w:rPr>
        <w:t xml:space="preserve">принят</w:t>
      </w:r>
      <w:r>
        <w:rPr>
          <w:rStyle w:val="576"/>
          <w:sz w:val="28"/>
          <w:szCs w:val="28"/>
        </w:rPr>
        <w:t xml:space="preserve"> к рассмотрению. </w:t>
      </w:r>
      <w:r/>
    </w:p>
    <w:p>
      <w:pPr>
        <w:pStyle w:val="564"/>
        <w:ind w:firstLine="709"/>
        <w:jc w:val="both"/>
        <w:rPr>
          <w:sz w:val="28"/>
        </w:rPr>
      </w:pPr>
      <w:r>
        <w:rPr>
          <w:sz w:val="28"/>
        </w:rPr>
      </w:r>
      <w:r/>
    </w:p>
    <w:p>
      <w:pPr>
        <w:pStyle w:val="564"/>
        <w:jc w:val="both"/>
        <w:rPr>
          <w:sz w:val="28"/>
        </w:rPr>
      </w:pPr>
      <w:r>
        <w:rPr>
          <w:sz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Директор</w:t>
      </w:r>
      <w:r>
        <w:rPr>
          <w:sz w:val="28"/>
          <w:szCs w:val="28"/>
        </w:rPr>
        <w:t xml:space="preserve"> департамента</w:t>
        <w:tab/>
        <w:t xml:space="preserve">С.Н. Кралин</w:t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  <w:lang w:bidi="ar-SA" w:eastAsia="ar-SA"/>
        </w:rPr>
      </w:pPr>
      <w:r>
        <w:rPr>
          <w:sz w:val="28"/>
          <w:szCs w:val="28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28"/>
          <w:szCs w:val="28"/>
          <w:lang w:bidi="ar-SA" w:eastAsia="ar-SA"/>
        </w:rPr>
        <w:t xml:space="preserve">Первый заместитель директора</w:t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28"/>
          <w:szCs w:val="28"/>
          <w:lang w:bidi="ar-SA" w:eastAsia="ar-SA"/>
        </w:rPr>
        <w:t xml:space="preserve">департамента строительства, ЖКХ и ТЭК </w:t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28"/>
          <w:szCs w:val="28"/>
          <w:lang w:bidi="ar-SA" w:eastAsia="ar-SA"/>
        </w:rPr>
        <w:t xml:space="preserve">Костромской области </w:t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32"/>
          <w:szCs w:val="24"/>
          <w:lang w:bidi="ar-SA" w:eastAsia="ar-SA"/>
        </w:rPr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28"/>
          <w:szCs w:val="28"/>
          <w:lang w:bidi="ar-SA" w:eastAsia="ar-SA"/>
        </w:rPr>
        <w:t xml:space="preserve">_____________ И.Р. Пищаев  </w:t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28"/>
          <w:szCs w:val="28"/>
          <w:lang w:bidi="ar-SA" w:eastAsia="ar-SA"/>
        </w:rPr>
        <w:t xml:space="preserve">«___» _________ 2022 года</w:t>
      </w:r>
      <w:r>
        <w:rPr>
          <w:sz w:val="32"/>
          <w:szCs w:val="24"/>
          <w:lang w:bidi="ar-SA" w:eastAsia="ar-SA"/>
        </w:rPr>
      </w:r>
      <w:r/>
    </w:p>
    <w:p>
      <w:pPr>
        <w:rPr>
          <w:lang w:bidi="ar-SA" w:eastAsia="ar-SA"/>
        </w:rPr>
      </w:pPr>
      <w:r>
        <w:rPr>
          <w:sz w:val="32"/>
          <w:szCs w:val="24"/>
          <w:lang w:bidi="ar-SA" w:eastAsia="ar-SA"/>
        </w:rPr>
      </w:r>
      <w:r>
        <w:rPr>
          <w:sz w:val="32"/>
          <w:szCs w:val="24"/>
          <w:lang w:bidi="ar-SA" w:eastAsia="ar-SA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0"/>
          <w:szCs w:val="24"/>
        </w:rPr>
      </w:pPr>
      <w:r>
        <w:rPr>
          <w:sz w:val="20"/>
          <w:szCs w:val="24"/>
        </w:rPr>
        <w:t xml:space="preserve">Семёнова Наталия Викторовна</w:t>
      </w:r>
      <w:r>
        <w:rPr>
          <w:sz w:val="20"/>
        </w:rPr>
      </w:r>
      <w:r/>
    </w:p>
    <w:p>
      <w:pPr>
        <w:pStyle w:val="564"/>
        <w:jc w:val="both"/>
        <w:tabs>
          <w:tab w:val="right" w:pos="9923" w:leader="none"/>
        </w:tabs>
        <w:rPr>
          <w:sz w:val="20"/>
          <w:szCs w:val="24"/>
        </w:rPr>
      </w:pPr>
      <w:r>
        <w:rPr>
          <w:sz w:val="20"/>
          <w:szCs w:val="24"/>
        </w:rPr>
        <w:t xml:space="preserve">(4942) 47-12-10</w:t>
      </w:r>
      <w:r>
        <w:rPr>
          <w:sz w:val="20"/>
        </w:rPr>
      </w:r>
      <w:r/>
    </w:p>
    <w:sectPr>
      <w:footnotePr/>
      <w:type w:val="nextPage"/>
      <w:pgSz w:w="11906" w:h="16838" w:orient="portrait"/>
      <w:pgMar w:top="851" w:right="567" w:bottom="709" w:left="1418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MingLiU">
    <w:panose1 w:val="02020500000000000000"/>
  </w:font>
  <w:font w:name="Times New Roman CYR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90">
    <w:name w:val="Heading 1"/>
    <w:link w:val="3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391">
    <w:name w:val="Heading 1 Char"/>
    <w:link w:val="390"/>
    <w:uiPriority w:val="9"/>
    <w:rPr>
      <w:rFonts w:ascii="Arial" w:hAnsi="Arial" w:cs="Arial" w:eastAsia="Arial"/>
      <w:sz w:val="40"/>
      <w:szCs w:val="40"/>
    </w:rPr>
  </w:style>
  <w:style w:type="paragraph" w:styleId="392">
    <w:name w:val="Heading 2"/>
    <w:link w:val="3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393">
    <w:name w:val="Heading 2 Char"/>
    <w:link w:val="392"/>
    <w:uiPriority w:val="9"/>
    <w:rPr>
      <w:rFonts w:ascii="Arial" w:hAnsi="Arial" w:cs="Arial" w:eastAsia="Arial"/>
      <w:sz w:val="34"/>
    </w:rPr>
  </w:style>
  <w:style w:type="paragraph" w:styleId="394">
    <w:name w:val="Heading 3"/>
    <w:link w:val="3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395">
    <w:name w:val="Heading 3 Char"/>
    <w:link w:val="394"/>
    <w:uiPriority w:val="9"/>
    <w:rPr>
      <w:rFonts w:ascii="Arial" w:hAnsi="Arial" w:cs="Arial" w:eastAsia="Arial"/>
      <w:sz w:val="30"/>
      <w:szCs w:val="30"/>
    </w:rPr>
  </w:style>
  <w:style w:type="paragraph" w:styleId="396">
    <w:name w:val="Heading 4"/>
    <w:link w:val="3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397">
    <w:name w:val="Heading 4 Char"/>
    <w:link w:val="396"/>
    <w:uiPriority w:val="9"/>
    <w:rPr>
      <w:rFonts w:ascii="Arial" w:hAnsi="Arial" w:cs="Arial" w:eastAsia="Arial"/>
      <w:b/>
      <w:bCs/>
      <w:sz w:val="26"/>
      <w:szCs w:val="26"/>
    </w:rPr>
  </w:style>
  <w:style w:type="paragraph" w:styleId="398">
    <w:name w:val="Heading 5"/>
    <w:link w:val="3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399">
    <w:name w:val="Heading 5 Char"/>
    <w:link w:val="398"/>
    <w:uiPriority w:val="9"/>
    <w:rPr>
      <w:rFonts w:ascii="Arial" w:hAnsi="Arial" w:cs="Arial" w:eastAsia="Arial"/>
      <w:b/>
      <w:bCs/>
      <w:sz w:val="24"/>
      <w:szCs w:val="24"/>
    </w:rPr>
  </w:style>
  <w:style w:type="paragraph" w:styleId="400">
    <w:name w:val="Heading 6"/>
    <w:link w:val="4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01">
    <w:name w:val="Heading 6 Char"/>
    <w:link w:val="400"/>
    <w:uiPriority w:val="9"/>
    <w:rPr>
      <w:rFonts w:ascii="Arial" w:hAnsi="Arial" w:cs="Arial" w:eastAsia="Arial"/>
      <w:b/>
      <w:bCs/>
      <w:sz w:val="22"/>
      <w:szCs w:val="22"/>
    </w:rPr>
  </w:style>
  <w:style w:type="paragraph" w:styleId="402">
    <w:name w:val="Heading 7"/>
    <w:link w:val="4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03">
    <w:name w:val="Heading 7 Char"/>
    <w:link w:val="4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04">
    <w:name w:val="Heading 8"/>
    <w:link w:val="4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05">
    <w:name w:val="Heading 8 Char"/>
    <w:link w:val="404"/>
    <w:uiPriority w:val="9"/>
    <w:rPr>
      <w:rFonts w:ascii="Arial" w:hAnsi="Arial" w:cs="Arial" w:eastAsia="Arial"/>
      <w:i/>
      <w:iCs/>
      <w:sz w:val="22"/>
      <w:szCs w:val="22"/>
    </w:rPr>
  </w:style>
  <w:style w:type="paragraph" w:styleId="406">
    <w:name w:val="Heading 9"/>
    <w:link w:val="4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07">
    <w:name w:val="Heading 9 Char"/>
    <w:link w:val="406"/>
    <w:uiPriority w:val="9"/>
    <w:rPr>
      <w:rFonts w:ascii="Arial" w:hAnsi="Arial" w:cs="Arial" w:eastAsia="Arial"/>
      <w:i/>
      <w:iCs/>
      <w:sz w:val="21"/>
      <w:szCs w:val="21"/>
    </w:rPr>
  </w:style>
  <w:style w:type="paragraph" w:styleId="408">
    <w:name w:val="List Paragraph"/>
    <w:qFormat/>
    <w:uiPriority w:val="34"/>
    <w:pPr>
      <w:contextualSpacing w:val="true"/>
      <w:ind w:left="720"/>
    </w:pPr>
  </w:style>
  <w:style w:type="paragraph" w:styleId="409">
    <w:name w:val="No Spacing"/>
    <w:qFormat/>
    <w:uiPriority w:val="1"/>
    <w:pPr>
      <w:spacing w:lineRule="auto" w:line="240" w:after="0" w:before="0"/>
    </w:pPr>
  </w:style>
  <w:style w:type="paragraph" w:styleId="410">
    <w:name w:val="Title"/>
    <w:link w:val="41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11">
    <w:name w:val="Title Char"/>
    <w:link w:val="410"/>
    <w:uiPriority w:val="10"/>
    <w:rPr>
      <w:sz w:val="48"/>
      <w:szCs w:val="48"/>
    </w:rPr>
  </w:style>
  <w:style w:type="paragraph" w:styleId="412">
    <w:name w:val="Subtitle"/>
    <w:link w:val="413"/>
    <w:qFormat/>
    <w:uiPriority w:val="11"/>
    <w:rPr>
      <w:sz w:val="24"/>
      <w:szCs w:val="24"/>
    </w:rPr>
    <w:pPr>
      <w:spacing w:after="200" w:before="200"/>
    </w:pPr>
  </w:style>
  <w:style w:type="character" w:styleId="413">
    <w:name w:val="Subtitle Char"/>
    <w:link w:val="412"/>
    <w:uiPriority w:val="11"/>
    <w:rPr>
      <w:sz w:val="24"/>
      <w:szCs w:val="24"/>
    </w:rPr>
  </w:style>
  <w:style w:type="paragraph" w:styleId="414">
    <w:name w:val="Quote"/>
    <w:link w:val="415"/>
    <w:qFormat/>
    <w:uiPriority w:val="29"/>
    <w:rPr>
      <w:i/>
    </w:rPr>
    <w:pPr>
      <w:ind w:left="720" w:right="720"/>
    </w:pPr>
  </w:style>
  <w:style w:type="character" w:styleId="415">
    <w:name w:val="Quote Char"/>
    <w:link w:val="414"/>
    <w:uiPriority w:val="29"/>
    <w:rPr>
      <w:i/>
    </w:rPr>
  </w:style>
  <w:style w:type="paragraph" w:styleId="416">
    <w:name w:val="Intense Quote"/>
    <w:link w:val="41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17">
    <w:name w:val="Intense Quote Char"/>
    <w:link w:val="416"/>
    <w:uiPriority w:val="30"/>
    <w:rPr>
      <w:i/>
    </w:rPr>
  </w:style>
  <w:style w:type="paragraph" w:styleId="418">
    <w:name w:val="Header"/>
    <w:link w:val="41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9">
    <w:name w:val="Header Char"/>
    <w:link w:val="418"/>
    <w:uiPriority w:val="99"/>
  </w:style>
  <w:style w:type="paragraph" w:styleId="420">
    <w:name w:val="Footer"/>
    <w:link w:val="42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21">
    <w:name w:val="Footer Char"/>
    <w:link w:val="420"/>
    <w:uiPriority w:val="99"/>
  </w:style>
  <w:style w:type="paragraph" w:styleId="42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23">
    <w:name w:val="Caption Char"/>
    <w:basedOn w:val="422"/>
    <w:link w:val="420"/>
    <w:uiPriority w:val="99"/>
  </w:style>
  <w:style w:type="table" w:styleId="42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2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3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3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4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4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4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4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4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4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5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5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5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5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5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5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5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6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6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6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6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6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6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6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6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6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6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7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7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7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7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8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8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9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9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9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9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9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1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1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1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1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2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2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2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2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2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2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2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2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2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2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3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4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4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4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4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4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4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4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4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4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50">
    <w:name w:val="Hyperlink"/>
    <w:uiPriority w:val="99"/>
    <w:unhideWhenUsed/>
    <w:rPr>
      <w:color w:val="0000FF" w:themeColor="hyperlink"/>
      <w:u w:val="single"/>
    </w:rPr>
  </w:style>
  <w:style w:type="paragraph" w:styleId="551">
    <w:name w:val="footnote text"/>
    <w:link w:val="552"/>
    <w:uiPriority w:val="99"/>
    <w:semiHidden/>
    <w:unhideWhenUsed/>
    <w:rPr>
      <w:sz w:val="18"/>
    </w:rPr>
    <w:pPr>
      <w:spacing w:lineRule="auto" w:line="240" w:after="40"/>
    </w:pPr>
  </w:style>
  <w:style w:type="character" w:styleId="552">
    <w:name w:val="Footnote Text Char"/>
    <w:link w:val="551"/>
    <w:uiPriority w:val="99"/>
    <w:rPr>
      <w:sz w:val="18"/>
    </w:rPr>
  </w:style>
  <w:style w:type="character" w:styleId="553">
    <w:name w:val="footnote reference"/>
    <w:uiPriority w:val="99"/>
    <w:unhideWhenUsed/>
    <w:rPr>
      <w:vertAlign w:val="superscript"/>
    </w:rPr>
  </w:style>
  <w:style w:type="paragraph" w:styleId="554">
    <w:name w:val="toc 1"/>
    <w:uiPriority w:val="39"/>
    <w:unhideWhenUsed/>
    <w:pPr>
      <w:ind w:left="0" w:right="0" w:firstLine="0"/>
      <w:spacing w:after="57"/>
    </w:pPr>
  </w:style>
  <w:style w:type="paragraph" w:styleId="555">
    <w:name w:val="toc 2"/>
    <w:uiPriority w:val="39"/>
    <w:unhideWhenUsed/>
    <w:pPr>
      <w:ind w:left="283" w:right="0" w:firstLine="0"/>
      <w:spacing w:after="57"/>
    </w:pPr>
  </w:style>
  <w:style w:type="paragraph" w:styleId="556">
    <w:name w:val="toc 3"/>
    <w:uiPriority w:val="39"/>
    <w:unhideWhenUsed/>
    <w:pPr>
      <w:ind w:left="567" w:right="0" w:firstLine="0"/>
      <w:spacing w:after="57"/>
    </w:pPr>
  </w:style>
  <w:style w:type="paragraph" w:styleId="557">
    <w:name w:val="toc 4"/>
    <w:uiPriority w:val="39"/>
    <w:unhideWhenUsed/>
    <w:pPr>
      <w:ind w:left="850" w:right="0" w:firstLine="0"/>
      <w:spacing w:after="57"/>
    </w:pPr>
  </w:style>
  <w:style w:type="paragraph" w:styleId="558">
    <w:name w:val="toc 5"/>
    <w:uiPriority w:val="39"/>
    <w:unhideWhenUsed/>
    <w:pPr>
      <w:ind w:left="1134" w:right="0" w:firstLine="0"/>
      <w:spacing w:after="57"/>
    </w:pPr>
  </w:style>
  <w:style w:type="paragraph" w:styleId="559">
    <w:name w:val="toc 6"/>
    <w:uiPriority w:val="39"/>
    <w:unhideWhenUsed/>
    <w:pPr>
      <w:ind w:left="1417" w:right="0" w:firstLine="0"/>
      <w:spacing w:after="57"/>
    </w:pPr>
  </w:style>
  <w:style w:type="paragraph" w:styleId="560">
    <w:name w:val="toc 7"/>
    <w:uiPriority w:val="39"/>
    <w:unhideWhenUsed/>
    <w:pPr>
      <w:ind w:left="1701" w:right="0" w:firstLine="0"/>
      <w:spacing w:after="57"/>
    </w:pPr>
  </w:style>
  <w:style w:type="paragraph" w:styleId="561">
    <w:name w:val="toc 8"/>
    <w:uiPriority w:val="39"/>
    <w:unhideWhenUsed/>
    <w:pPr>
      <w:ind w:left="1984" w:right="0" w:firstLine="0"/>
      <w:spacing w:after="57"/>
    </w:pPr>
  </w:style>
  <w:style w:type="paragraph" w:styleId="562">
    <w:name w:val="toc 9"/>
    <w:uiPriority w:val="39"/>
    <w:unhideWhenUsed/>
    <w:pPr>
      <w:ind w:left="2268" w:right="0" w:firstLine="0"/>
      <w:spacing w:after="57"/>
    </w:pPr>
  </w:style>
  <w:style w:type="paragraph" w:styleId="563">
    <w:name w:val="TOC Heading"/>
    <w:uiPriority w:val="39"/>
    <w:unhideWhenUsed/>
  </w:style>
  <w:style w:type="paragraph" w:styleId="564">
    <w:name w:val="Обычный"/>
    <w:next w:val="564"/>
    <w:link w:val="564"/>
    <w:rPr>
      <w:lang w:val="ru-RU" w:bidi="ar-SA" w:eastAsia="ru-RU"/>
    </w:rPr>
  </w:style>
  <w:style w:type="paragraph" w:styleId="565">
    <w:name w:val="Заголовок 2"/>
    <w:basedOn w:val="564"/>
    <w:next w:val="564"/>
    <w:link w:val="579"/>
    <w:rPr>
      <w:color w:val="000000"/>
      <w:sz w:val="28"/>
      <w:szCs w:val="24"/>
    </w:rPr>
    <w:pPr>
      <w:jc w:val="right"/>
      <w:keepNext/>
      <w:outlineLvl w:val="1"/>
    </w:pPr>
  </w:style>
  <w:style w:type="character" w:styleId="566">
    <w:name w:val="Основной шрифт абзаца"/>
    <w:next w:val="566"/>
    <w:link w:val="564"/>
    <w:semiHidden/>
  </w:style>
  <w:style w:type="table" w:styleId="567">
    <w:name w:val="Обычная таблица"/>
    <w:next w:val="567"/>
    <w:link w:val="564"/>
    <w:semiHidden/>
    <w:tblPr/>
  </w:style>
  <w:style w:type="numbering" w:styleId="568">
    <w:name w:val="Нет списка"/>
    <w:next w:val="568"/>
    <w:link w:val="564"/>
    <w:semiHidden/>
  </w:style>
  <w:style w:type="paragraph" w:styleId="569">
    <w:name w:val="Верхний колонтитул"/>
    <w:basedOn w:val="564"/>
    <w:next w:val="569"/>
    <w:link w:val="578"/>
    <w:rPr>
      <w:sz w:val="24"/>
      <w:szCs w:val="24"/>
    </w:rPr>
    <w:pPr>
      <w:tabs>
        <w:tab w:val="center" w:pos="4677" w:leader="none"/>
        <w:tab w:val="right" w:pos="9355" w:leader="none"/>
      </w:tabs>
    </w:pPr>
  </w:style>
  <w:style w:type="character" w:styleId="570">
    <w:name w:val="Гиперссылка"/>
    <w:next w:val="570"/>
    <w:link w:val="564"/>
    <w:rPr>
      <w:color w:val="0000FF"/>
      <w:u w:val="single"/>
    </w:rPr>
  </w:style>
  <w:style w:type="paragraph" w:styleId="571">
    <w:name w:val="Гербовый"/>
    <w:next w:val="571"/>
    <w:link w:val="564"/>
    <w:rPr>
      <w:position w:val="14"/>
      <w:u w:val="single"/>
      <w:lang w:val="ru-RU" w:bidi="ar-SA" w:eastAsia="ru-RU"/>
    </w:rPr>
    <w:pPr>
      <w:jc w:val="center"/>
      <w:framePr w:w="3754" w:h="4479" w:hSpace="181" w:vAnchor="text" w:hAnchor="page" w:x="1883" w:y="1"/>
    </w:pPr>
  </w:style>
  <w:style w:type="paragraph" w:styleId="572">
    <w:name w:val="ConsPlusNonformat"/>
    <w:next w:val="572"/>
    <w:link w:val="564"/>
    <w:rPr>
      <w:rFonts w:ascii="Courier New" w:hAnsi="Courier New"/>
      <w:lang w:val="ru-RU" w:bidi="ar-SA" w:eastAsia="ru-RU"/>
    </w:rPr>
    <w:pPr>
      <w:widowControl w:val="off"/>
    </w:pPr>
  </w:style>
  <w:style w:type="paragraph" w:styleId="573">
    <w:name w:val="ConsPlusNormal"/>
    <w:next w:val="573"/>
    <w:link w:val="564"/>
    <w:rPr>
      <w:rFonts w:ascii="Arial" w:hAnsi="Arial"/>
      <w:lang w:val="ru-RU" w:bidi="ar-SA" w:eastAsia="ru-RU"/>
    </w:rPr>
    <w:pPr>
      <w:widowControl w:val="off"/>
    </w:pPr>
  </w:style>
  <w:style w:type="paragraph" w:styleId="574">
    <w:name w:val="Текст выноски"/>
    <w:basedOn w:val="564"/>
    <w:next w:val="574"/>
    <w:link w:val="564"/>
    <w:semiHidden/>
    <w:rPr>
      <w:rFonts w:ascii="Tahoma" w:hAnsi="Tahoma"/>
      <w:sz w:val="16"/>
      <w:szCs w:val="16"/>
    </w:rPr>
  </w:style>
  <w:style w:type="paragraph" w:styleId="575">
    <w:name w:val="Style10"/>
    <w:basedOn w:val="564"/>
    <w:next w:val="575"/>
    <w:link w:val="564"/>
    <w:rPr>
      <w:sz w:val="24"/>
      <w:szCs w:val="24"/>
    </w:rPr>
    <w:pPr>
      <w:ind w:firstLine="701"/>
      <w:jc w:val="both"/>
      <w:spacing w:lineRule="exact" w:line="479"/>
      <w:widowControl w:val="off"/>
    </w:pPr>
  </w:style>
  <w:style w:type="character" w:styleId="576">
    <w:name w:val="Font Style22"/>
    <w:basedOn w:val="566"/>
    <w:next w:val="576"/>
    <w:link w:val="564"/>
    <w:rPr>
      <w:rFonts w:ascii="Times New Roman" w:hAnsi="Times New Roman"/>
      <w:sz w:val="26"/>
      <w:szCs w:val="26"/>
    </w:rPr>
  </w:style>
  <w:style w:type="character" w:styleId="577">
    <w:name w:val="Font Style207"/>
    <w:basedOn w:val="566"/>
    <w:next w:val="577"/>
    <w:link w:val="564"/>
    <w:rPr>
      <w:rFonts w:ascii="Times New Roman" w:hAnsi="Times New Roman"/>
      <w:b/>
      <w:bCs/>
      <w:sz w:val="26"/>
      <w:szCs w:val="26"/>
    </w:rPr>
  </w:style>
  <w:style w:type="character" w:styleId="578">
    <w:name w:val="Верхний колонтитул Знак"/>
    <w:basedOn w:val="566"/>
    <w:next w:val="578"/>
    <w:link w:val="569"/>
    <w:rPr>
      <w:sz w:val="24"/>
      <w:szCs w:val="24"/>
    </w:rPr>
  </w:style>
  <w:style w:type="character" w:styleId="579">
    <w:name w:val="Заголовок 2 Знак"/>
    <w:basedOn w:val="566"/>
    <w:next w:val="579"/>
    <w:link w:val="565"/>
    <w:rPr>
      <w:color w:val="000000"/>
      <w:sz w:val="28"/>
      <w:szCs w:val="24"/>
    </w:rPr>
  </w:style>
  <w:style w:type="character" w:styleId="580" w:default="1">
    <w:name w:val="Default Paragraph Font"/>
    <w:uiPriority w:val="1"/>
    <w:semiHidden/>
    <w:unhideWhenUsed/>
  </w:style>
  <w:style w:type="numbering" w:styleId="581" w:default="1">
    <w:name w:val="No List"/>
    <w:uiPriority w:val="99"/>
    <w:semiHidden/>
    <w:unhideWhenUsed/>
  </w:style>
  <w:style w:type="paragraph" w:styleId="582" w:default="1">
    <w:name w:val="Normal"/>
    <w:qFormat/>
  </w:style>
  <w:style w:type="table" w:styleId="58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2022-04-04T12:39:12Z</dcterms:modified>
</cp:coreProperties>
</file>